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EEE" w:rsidRDefault="008B0EEE" w:rsidP="008B0EEE">
      <w:pPr>
        <w:jc w:val="both"/>
        <w:rPr>
          <w:b/>
          <w:bCs/>
        </w:rPr>
      </w:pPr>
    </w:p>
    <w:p w:rsidR="008B0EEE" w:rsidRDefault="008B0EEE" w:rsidP="008B0EEE">
      <w:pPr>
        <w:jc w:val="center"/>
        <w:rPr>
          <w:b/>
          <w:bCs/>
        </w:rPr>
      </w:pPr>
      <w:r>
        <w:rPr>
          <w:rFonts w:ascii="Arial" w:hAnsi="Arial" w:cs="Arial"/>
          <w:b/>
          <w:noProof/>
        </w:rPr>
        <w:drawing>
          <wp:inline distT="0" distB="0" distL="0" distR="0" wp14:anchorId="44DA85F6" wp14:editId="0E51FF25">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7">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8B0EEE" w:rsidRDefault="008B0EEE" w:rsidP="008B0EEE">
      <w:pPr>
        <w:jc w:val="both"/>
        <w:rPr>
          <w:b/>
          <w:bCs/>
        </w:rPr>
      </w:pPr>
    </w:p>
    <w:p w:rsidR="008B0EEE" w:rsidRDefault="008B0EEE" w:rsidP="008B0EEE">
      <w:pPr>
        <w:jc w:val="right"/>
        <w:rPr>
          <w:b/>
          <w:bCs/>
        </w:rPr>
      </w:pPr>
      <w:r>
        <w:rPr>
          <w:b/>
          <w:bCs/>
        </w:rPr>
        <w:t xml:space="preserve">            </w:t>
      </w:r>
      <w:r w:rsidR="003022B3">
        <w:rPr>
          <w:b/>
          <w:bCs/>
        </w:rPr>
        <w:t xml:space="preserve"> Thursday</w:t>
      </w:r>
      <w:r w:rsidR="00376209">
        <w:rPr>
          <w:b/>
          <w:bCs/>
        </w:rPr>
        <w:t xml:space="preserve">, </w:t>
      </w:r>
      <w:r w:rsidR="003022B3">
        <w:rPr>
          <w:b/>
          <w:bCs/>
        </w:rPr>
        <w:t>30</w:t>
      </w:r>
      <w:r w:rsidR="00376209">
        <w:rPr>
          <w:b/>
          <w:bCs/>
        </w:rPr>
        <w:t xml:space="preserve"> June </w:t>
      </w:r>
      <w:r>
        <w:rPr>
          <w:b/>
          <w:bCs/>
        </w:rPr>
        <w:t>2016</w:t>
      </w:r>
    </w:p>
    <w:p w:rsidR="008B0EEE" w:rsidRDefault="008B0EEE" w:rsidP="008B0EEE">
      <w:pPr>
        <w:jc w:val="both"/>
        <w:rPr>
          <w:b/>
          <w:bCs/>
        </w:rPr>
      </w:pPr>
    </w:p>
    <w:p w:rsidR="008B0EEE" w:rsidRDefault="008B0EEE" w:rsidP="008B0EEE">
      <w:pPr>
        <w:jc w:val="both"/>
        <w:rPr>
          <w:b/>
          <w:bCs/>
        </w:rPr>
      </w:pPr>
    </w:p>
    <w:p w:rsidR="008B0EEE" w:rsidRDefault="00376209" w:rsidP="008B0EEE">
      <w:pPr>
        <w:jc w:val="both"/>
        <w:rPr>
          <w:b/>
          <w:bCs/>
        </w:rPr>
      </w:pPr>
      <w:r w:rsidRPr="00376209">
        <w:rPr>
          <w:b/>
          <w:bCs/>
        </w:rPr>
        <w:t xml:space="preserve">Anheuser-Busch InBev </w:t>
      </w:r>
      <w:r w:rsidR="00F83262">
        <w:rPr>
          <w:b/>
          <w:bCs/>
        </w:rPr>
        <w:t>mer</w:t>
      </w:r>
      <w:r>
        <w:rPr>
          <w:b/>
          <w:bCs/>
        </w:rPr>
        <w:t>ger with SAB Miller</w:t>
      </w:r>
      <w:r w:rsidR="008B0EEE">
        <w:rPr>
          <w:b/>
          <w:bCs/>
        </w:rPr>
        <w:t xml:space="preserve"> approved with conditions</w:t>
      </w:r>
    </w:p>
    <w:p w:rsidR="008B0EEE" w:rsidRPr="008B0EEE" w:rsidRDefault="008B0EEE" w:rsidP="008B0EEE">
      <w:pPr>
        <w:jc w:val="both"/>
        <w:rPr>
          <w:lang w:val="en-ZA"/>
        </w:rPr>
      </w:pPr>
    </w:p>
    <w:p w:rsidR="009740E9" w:rsidRDefault="009740E9" w:rsidP="00376209">
      <w:pPr>
        <w:jc w:val="both"/>
      </w:pPr>
      <w:r>
        <w:t>Today t</w:t>
      </w:r>
      <w:r w:rsidR="00376209">
        <w:t>he Competition Tribunal</w:t>
      </w:r>
      <w:r w:rsidR="00F83262">
        <w:t xml:space="preserve"> </w:t>
      </w:r>
      <w:r>
        <w:t xml:space="preserve">approved the </w:t>
      </w:r>
      <w:r w:rsidR="00F83262">
        <w:t>merge</w:t>
      </w:r>
      <w:r w:rsidR="00376209">
        <w:t xml:space="preserve">r between </w:t>
      </w:r>
      <w:r w:rsidR="00524F04">
        <w:t xml:space="preserve">beer </w:t>
      </w:r>
      <w:r w:rsidR="00423DD9">
        <w:t xml:space="preserve">giants </w:t>
      </w:r>
      <w:r w:rsidR="00F83262">
        <w:t>Anheuser-Busch InBev</w:t>
      </w:r>
      <w:r w:rsidR="00E7708C">
        <w:t xml:space="preserve"> SA/NV (AB InBev) and SABMiller </w:t>
      </w:r>
      <w:r w:rsidR="00F83262">
        <w:t>plc (SABMiller)</w:t>
      </w:r>
      <w:r>
        <w:t xml:space="preserve"> subject to wide ranging conditions</w:t>
      </w:r>
      <w:r w:rsidR="00B048BE">
        <w:t xml:space="preserve"> designed to</w:t>
      </w:r>
      <w:r w:rsidR="00583AC9">
        <w:t xml:space="preserve"> address both public interest and competition concerns arising from the merger</w:t>
      </w:r>
      <w:r>
        <w:t>.</w:t>
      </w:r>
      <w:r w:rsidR="00583AC9">
        <w:rPr>
          <w:rStyle w:val="FootnoteReference"/>
        </w:rPr>
        <w:footnoteReference w:id="1"/>
      </w:r>
    </w:p>
    <w:p w:rsidR="009740E9" w:rsidRDefault="009740E9" w:rsidP="00376209">
      <w:pPr>
        <w:jc w:val="both"/>
      </w:pPr>
      <w:r>
        <w:br/>
        <w:t>These conditions are for the most part similar to those proposed by the Competition Commission in its recommendation and those contained in an earlier agreement between the merging parties and three government ministries, namely Economic Development, Trade and I</w:t>
      </w:r>
      <w:r w:rsidR="003F69D9">
        <w:t>ndustry and Agriculture, Forestry</w:t>
      </w:r>
      <w:r>
        <w:t xml:space="preserve"> and Fisheries.</w:t>
      </w:r>
    </w:p>
    <w:p w:rsidR="009740E9" w:rsidRDefault="009740E9" w:rsidP="00376209">
      <w:pPr>
        <w:jc w:val="both"/>
      </w:pPr>
    </w:p>
    <w:p w:rsidR="009740E9" w:rsidRDefault="009740E9" w:rsidP="00376209">
      <w:pPr>
        <w:jc w:val="both"/>
      </w:pPr>
      <w:r>
        <w:t>The conditions have</w:t>
      </w:r>
      <w:r w:rsidR="00B048BE">
        <w:t>,</w:t>
      </w:r>
      <w:r>
        <w:t xml:space="preserve"> however</w:t>
      </w:r>
      <w:r w:rsidR="00B048BE">
        <w:t>,</w:t>
      </w:r>
      <w:r>
        <w:t xml:space="preserve"> been</w:t>
      </w:r>
      <w:r w:rsidR="00B048BE">
        <w:t xml:space="preserve"> changed in some respects as a </w:t>
      </w:r>
      <w:r>
        <w:t xml:space="preserve">result of submissions the </w:t>
      </w:r>
      <w:r w:rsidR="001D4F1E">
        <w:t xml:space="preserve">Competition </w:t>
      </w:r>
      <w:r>
        <w:t>Tribunal received from t</w:t>
      </w:r>
      <w:r w:rsidR="00B048BE">
        <w:t>hird parties in the course of</w:t>
      </w:r>
      <w:r>
        <w:t xml:space="preserve"> hearings which ran for three days at the end of last week.</w:t>
      </w:r>
      <w:r w:rsidR="00B47144">
        <w:rPr>
          <w:rStyle w:val="FootnoteReference"/>
        </w:rPr>
        <w:footnoteReference w:id="2"/>
      </w:r>
    </w:p>
    <w:p w:rsidR="00581CC8" w:rsidRDefault="00581CC8" w:rsidP="00376209">
      <w:pPr>
        <w:jc w:val="both"/>
      </w:pPr>
    </w:p>
    <w:p w:rsidR="00581CC8" w:rsidRDefault="00581CC8" w:rsidP="00376209">
      <w:pPr>
        <w:jc w:val="both"/>
      </w:pPr>
      <w:r>
        <w:t>The material changes</w:t>
      </w:r>
      <w:r w:rsidR="00B048BE">
        <w:t xml:space="preserve"> to the conditions</w:t>
      </w:r>
      <w:r>
        <w:t xml:space="preserve"> relate to:</w:t>
      </w:r>
    </w:p>
    <w:p w:rsidR="00581CC8" w:rsidRDefault="00E7708C" w:rsidP="00581CC8">
      <w:pPr>
        <w:pStyle w:val="ListParagraph"/>
        <w:numPr>
          <w:ilvl w:val="0"/>
          <w:numId w:val="2"/>
        </w:numPr>
        <w:jc w:val="both"/>
      </w:pPr>
      <w:r>
        <w:t>t</w:t>
      </w:r>
      <w:r w:rsidR="00581CC8">
        <w:t>he mechanism for the timing and mecha</w:t>
      </w:r>
      <w:r w:rsidR="00B048BE">
        <w:t>nics of the disposal of the SAB</w:t>
      </w:r>
      <w:r w:rsidR="00581CC8">
        <w:t>Miller interest i</w:t>
      </w:r>
      <w:r>
        <w:t>n Distell;</w:t>
      </w:r>
      <w:r w:rsidR="00581CC8">
        <w:t xml:space="preserve"> </w:t>
      </w:r>
      <w:r>
        <w:t>(</w:t>
      </w:r>
      <w:r w:rsidR="00581CC8">
        <w:t>This is</w:t>
      </w:r>
      <w:r w:rsidR="00B048BE">
        <w:t>,</w:t>
      </w:r>
      <w:r w:rsidR="00581CC8">
        <w:t xml:space="preserve"> however</w:t>
      </w:r>
      <w:r w:rsidR="00B048BE">
        <w:t>,</w:t>
      </w:r>
      <w:r w:rsidR="00581CC8">
        <w:t xml:space="preserve"> confidential and not contained in the public version of the conditions</w:t>
      </w:r>
      <w:r w:rsidR="00B048BE">
        <w:t xml:space="preserve"> attached</w:t>
      </w:r>
      <w:r w:rsidR="00581CC8">
        <w:t>.</w:t>
      </w:r>
      <w:r>
        <w:t>)</w:t>
      </w:r>
    </w:p>
    <w:p w:rsidR="00B47144" w:rsidRDefault="00E7708C" w:rsidP="00581CC8">
      <w:pPr>
        <w:pStyle w:val="ListParagraph"/>
        <w:numPr>
          <w:ilvl w:val="0"/>
          <w:numId w:val="2"/>
        </w:numPr>
        <w:jc w:val="both"/>
      </w:pPr>
      <w:r>
        <w:t>a</w:t>
      </w:r>
      <w:r w:rsidR="00B47144">
        <w:t>ccess rights of rivals to fridge space</w:t>
      </w:r>
      <w:r w:rsidR="00583AC9">
        <w:t xml:space="preserve"> supplied to outlets by the Merged firm</w:t>
      </w:r>
      <w:r>
        <w:t>;</w:t>
      </w:r>
      <w:r w:rsidR="00B048BE">
        <w:t xml:space="preserve"> (S</w:t>
      </w:r>
      <w:r w:rsidR="00583AC9">
        <w:t xml:space="preserve">ee clauses </w:t>
      </w:r>
      <w:r w:rsidR="00A12D71">
        <w:t xml:space="preserve">7.2; </w:t>
      </w:r>
      <w:r w:rsidR="00583AC9">
        <w:t>7.3</w:t>
      </w:r>
      <w:r w:rsidR="00A12D71">
        <w:t xml:space="preserve"> and </w:t>
      </w:r>
      <w:r w:rsidR="00583AC9">
        <w:t>10.1)</w:t>
      </w:r>
      <w:r w:rsidR="00583AC9">
        <w:rPr>
          <w:rStyle w:val="FootnoteReference"/>
        </w:rPr>
        <w:footnoteReference w:id="3"/>
      </w:r>
    </w:p>
    <w:p w:rsidR="00B47144" w:rsidRDefault="00E7708C" w:rsidP="00581CC8">
      <w:pPr>
        <w:pStyle w:val="ListParagraph"/>
        <w:numPr>
          <w:ilvl w:val="0"/>
          <w:numId w:val="2"/>
        </w:numPr>
        <w:jc w:val="both"/>
      </w:pPr>
      <w:r>
        <w:lastRenderedPageBreak/>
        <w:t>a</w:t>
      </w:r>
      <w:r w:rsidR="00B47144">
        <w:t xml:space="preserve">ccess of </w:t>
      </w:r>
      <w:r w:rsidR="00B048BE">
        <w:t xml:space="preserve">competitors </w:t>
      </w:r>
      <w:r w:rsidR="00B47144">
        <w:t>to metal</w:t>
      </w:r>
      <w:r w:rsidR="00B048BE">
        <w:t xml:space="preserve"> bottle</w:t>
      </w:r>
      <w:r w:rsidR="00B47144">
        <w:t xml:space="preserve"> crowns</w:t>
      </w:r>
      <w:r w:rsidR="00B048BE">
        <w:t xml:space="preserve"> </w:t>
      </w:r>
      <w:r w:rsidR="00B47144">
        <w:t>supplied by the</w:t>
      </w:r>
      <w:r w:rsidR="00C52328">
        <w:t xml:space="preserve"> </w:t>
      </w:r>
      <w:r w:rsidR="00F32459">
        <w:t xml:space="preserve">SABMiller </w:t>
      </w:r>
      <w:r w:rsidR="00B47144">
        <w:t xml:space="preserve">controlled entity Coleus </w:t>
      </w:r>
      <w:r w:rsidR="00B048BE">
        <w:t xml:space="preserve">Packing </w:t>
      </w:r>
      <w:r w:rsidR="00B47144">
        <w:t>has been al</w:t>
      </w:r>
      <w:r w:rsidR="00B048BE">
        <w:t xml:space="preserve">tered from a limited period of five years, </w:t>
      </w:r>
      <w:r w:rsidR="00B47144">
        <w:t>to an unlimited period as long as the Merged entity continues to control Coleus.</w:t>
      </w:r>
      <w:r w:rsidR="003022B3">
        <w:t xml:space="preserve"> (See clause 6)</w:t>
      </w:r>
    </w:p>
    <w:p w:rsidR="00B47144" w:rsidRDefault="00C52328" w:rsidP="00581CC8">
      <w:pPr>
        <w:pStyle w:val="ListParagraph"/>
        <w:numPr>
          <w:ilvl w:val="0"/>
          <w:numId w:val="2"/>
        </w:numPr>
        <w:jc w:val="both"/>
      </w:pPr>
      <w:r>
        <w:t>s</w:t>
      </w:r>
      <w:r w:rsidR="00B47144">
        <w:t>upply conditions</w:t>
      </w:r>
      <w:r w:rsidR="003022B3">
        <w:t xml:space="preserve"> of input suppliers</w:t>
      </w:r>
      <w:r w:rsidR="00B048BE">
        <w:t>,</w:t>
      </w:r>
      <w:r w:rsidR="003022B3">
        <w:t xml:space="preserve"> particularly </w:t>
      </w:r>
      <w:r w:rsidR="00B47144">
        <w:t>in respect of barley farmers</w:t>
      </w:r>
      <w:r>
        <w:t>;</w:t>
      </w:r>
      <w:r w:rsidR="003022B3">
        <w:t xml:space="preserve"> ( See clause 9.1)</w:t>
      </w:r>
      <w:r w:rsidR="003022B3">
        <w:rPr>
          <w:rStyle w:val="FootnoteReference"/>
        </w:rPr>
        <w:footnoteReference w:id="4"/>
      </w:r>
    </w:p>
    <w:p w:rsidR="00B00138" w:rsidRDefault="00B00138" w:rsidP="00B00138">
      <w:pPr>
        <w:pStyle w:val="ListParagraph"/>
        <w:numPr>
          <w:ilvl w:val="0"/>
          <w:numId w:val="2"/>
        </w:numPr>
        <w:jc w:val="both"/>
      </w:pPr>
      <w:r>
        <w:t>the evergreen restriction on merger related retrenchments whilst retained has been clarified with a provision which shifts the burden of proving the retrenchment is a result of the merger to the employee after a period of five years</w:t>
      </w:r>
      <w:r>
        <w:t>;</w:t>
      </w:r>
      <w:r>
        <w:t xml:space="preserve"> (See clause 8.2)</w:t>
      </w:r>
    </w:p>
    <w:p w:rsidR="00B47144" w:rsidRDefault="00C52328" w:rsidP="00581CC8">
      <w:pPr>
        <w:pStyle w:val="ListParagraph"/>
        <w:numPr>
          <w:ilvl w:val="0"/>
          <w:numId w:val="2"/>
        </w:numPr>
        <w:jc w:val="both"/>
      </w:pPr>
      <w:r>
        <w:t>a</w:t>
      </w:r>
      <w:r w:rsidR="00B47144">
        <w:t xml:space="preserve"> provision relating to an employee share scheme known as Zenzele</w:t>
      </w:r>
      <w:r w:rsidR="00B048BE">
        <w:t>,</w:t>
      </w:r>
      <w:r w:rsidR="00B47144">
        <w:t xml:space="preserve"> which was the subject of c</w:t>
      </w:r>
      <w:r w:rsidR="00B048BE">
        <w:t>ontention between the union Food and Allied Workers Union (FAWU)</w:t>
      </w:r>
      <w:r w:rsidR="00B47144">
        <w:t xml:space="preserve"> and the merging parties</w:t>
      </w:r>
      <w:r w:rsidR="00B048BE">
        <w:t>,</w:t>
      </w:r>
      <w:r w:rsidR="00B47144">
        <w:t xml:space="preserve"> has been removed at the request of both parties.</w:t>
      </w:r>
      <w:r w:rsidR="00B47144">
        <w:rPr>
          <w:rStyle w:val="FootnoteReference"/>
        </w:rPr>
        <w:footnoteReference w:id="5"/>
      </w:r>
      <w:r w:rsidR="003022B3">
        <w:t xml:space="preserve"> ( clause 13)</w:t>
      </w:r>
    </w:p>
    <w:p w:rsidR="009740E9" w:rsidRDefault="009740E9" w:rsidP="00376209">
      <w:pPr>
        <w:jc w:val="both"/>
      </w:pPr>
    </w:p>
    <w:p w:rsidR="00376209" w:rsidRDefault="00376209" w:rsidP="00376209">
      <w:pPr>
        <w:jc w:val="both"/>
        <w:rPr>
          <w:lang w:val="en-ZA"/>
        </w:rPr>
      </w:pPr>
      <w:r w:rsidRPr="00376209">
        <w:rPr>
          <w:lang w:val="en-ZA"/>
        </w:rPr>
        <w:t xml:space="preserve">The Tribunal will be providing reasons for its approval in due course. </w:t>
      </w:r>
    </w:p>
    <w:p w:rsidR="0062114A" w:rsidRDefault="0062114A" w:rsidP="00376209">
      <w:pPr>
        <w:jc w:val="both"/>
        <w:rPr>
          <w:lang w:val="en-ZA"/>
        </w:rPr>
      </w:pPr>
    </w:p>
    <w:p w:rsidR="0062114A" w:rsidRPr="00376209" w:rsidRDefault="0062114A" w:rsidP="00376209">
      <w:pPr>
        <w:jc w:val="both"/>
        <w:rPr>
          <w:lang w:val="en-ZA"/>
        </w:rPr>
      </w:pPr>
      <w:r>
        <w:rPr>
          <w:lang w:val="en-ZA"/>
        </w:rPr>
        <w:t>A copy of the public version of the conditions is attached.</w:t>
      </w:r>
    </w:p>
    <w:p w:rsidR="008B0EEE" w:rsidRPr="008B0EEE" w:rsidRDefault="008B0EEE" w:rsidP="008B0EEE">
      <w:pPr>
        <w:jc w:val="both"/>
        <w:rPr>
          <w:lang w:val="en-ZA"/>
        </w:rPr>
      </w:pPr>
    </w:p>
    <w:p w:rsidR="008B0EEE" w:rsidRPr="00C52328" w:rsidRDefault="008B0EEE" w:rsidP="008B0EEE">
      <w:pPr>
        <w:jc w:val="both"/>
        <w:rPr>
          <w:rFonts w:asciiTheme="minorHAnsi" w:hAnsiTheme="minorHAnsi" w:cs="Arial"/>
          <w:lang w:val="en-ZA" w:eastAsia="en-ZA"/>
        </w:rPr>
      </w:pPr>
      <w:r w:rsidRPr="00C52328">
        <w:rPr>
          <w:rFonts w:asciiTheme="minorHAnsi" w:hAnsiTheme="minorHAnsi" w:cs="Arial"/>
          <w:color w:val="000000"/>
          <w:lang w:val="en-ZA" w:eastAsia="en-ZA"/>
        </w:rPr>
        <w:t xml:space="preserve">Issued by: </w:t>
      </w:r>
    </w:p>
    <w:p w:rsidR="008B0EEE" w:rsidRPr="00C52328" w:rsidRDefault="008B0EEE" w:rsidP="008B0EEE">
      <w:pPr>
        <w:jc w:val="both"/>
        <w:rPr>
          <w:rFonts w:asciiTheme="minorHAnsi" w:hAnsiTheme="minorHAnsi" w:cs="Arial"/>
          <w:color w:val="000000"/>
          <w:lang w:val="en-ZA" w:eastAsia="en-ZA"/>
        </w:rPr>
      </w:pPr>
      <w:r w:rsidRPr="00C52328">
        <w:rPr>
          <w:rFonts w:asciiTheme="minorHAnsi" w:hAnsiTheme="minorHAnsi" w:cs="Arial"/>
          <w:color w:val="000000"/>
          <w:lang w:val="en-ZA" w:eastAsia="en-ZA"/>
        </w:rPr>
        <w:t xml:space="preserve">Chantelle Benjamin </w:t>
      </w:r>
    </w:p>
    <w:p w:rsidR="008B0EEE" w:rsidRPr="00C52328" w:rsidRDefault="008B0EEE" w:rsidP="008B0EEE">
      <w:pPr>
        <w:jc w:val="both"/>
        <w:rPr>
          <w:rFonts w:asciiTheme="minorHAnsi" w:hAnsiTheme="minorHAnsi" w:cs="Arial"/>
          <w:color w:val="000000"/>
          <w:lang w:val="en-ZA" w:eastAsia="en-ZA"/>
        </w:rPr>
      </w:pPr>
      <w:r w:rsidRPr="00C52328">
        <w:rPr>
          <w:rFonts w:asciiTheme="minorHAnsi" w:hAnsiTheme="minorHAnsi" w:cs="Arial"/>
          <w:color w:val="000000"/>
          <w:lang w:val="en-ZA" w:eastAsia="en-ZA"/>
        </w:rPr>
        <w:t>Communications: Competition Tribunal   </w:t>
      </w:r>
    </w:p>
    <w:p w:rsidR="008B0EEE" w:rsidRPr="00C52328" w:rsidRDefault="008B0EEE" w:rsidP="008B0EEE">
      <w:pPr>
        <w:jc w:val="both"/>
        <w:rPr>
          <w:rFonts w:asciiTheme="minorHAnsi" w:hAnsiTheme="minorHAnsi" w:cs="Arial"/>
          <w:color w:val="000000"/>
          <w:lang w:val="en-ZA" w:eastAsia="en-ZA"/>
        </w:rPr>
      </w:pPr>
      <w:r w:rsidRPr="00C52328">
        <w:rPr>
          <w:rFonts w:asciiTheme="minorHAnsi" w:hAnsiTheme="minorHAnsi" w:cs="Arial"/>
          <w:color w:val="000000"/>
          <w:lang w:val="en-ZA" w:eastAsia="en-ZA"/>
        </w:rPr>
        <w:t xml:space="preserve">Tel (012)394 1383                                      </w:t>
      </w:r>
    </w:p>
    <w:p w:rsidR="008B0EEE" w:rsidRPr="00C52328" w:rsidRDefault="008B0EEE" w:rsidP="008B0EEE">
      <w:pPr>
        <w:jc w:val="both"/>
        <w:rPr>
          <w:rFonts w:asciiTheme="minorHAnsi" w:hAnsiTheme="minorHAnsi" w:cs="Arial"/>
          <w:color w:val="000000"/>
          <w:lang w:val="en-ZA" w:eastAsia="en-ZA"/>
        </w:rPr>
      </w:pPr>
      <w:r w:rsidRPr="00C52328">
        <w:rPr>
          <w:rFonts w:asciiTheme="minorHAnsi" w:hAnsiTheme="minorHAnsi" w:cs="Arial"/>
          <w:color w:val="000000"/>
          <w:lang w:val="en-ZA" w:eastAsia="en-ZA"/>
        </w:rPr>
        <w:t>Cell: +27 (0) 73 007 5603  </w:t>
      </w:r>
    </w:p>
    <w:p w:rsidR="008B0EEE" w:rsidRPr="00C52328" w:rsidRDefault="008B0EEE" w:rsidP="008B0EEE">
      <w:pPr>
        <w:jc w:val="both"/>
        <w:rPr>
          <w:rFonts w:asciiTheme="minorHAnsi" w:hAnsiTheme="minorHAnsi" w:cs="Arial"/>
          <w:lang w:val="en-ZA" w:eastAsia="en-ZA"/>
        </w:rPr>
      </w:pPr>
      <w:r w:rsidRPr="00C52328">
        <w:rPr>
          <w:rFonts w:asciiTheme="minorHAnsi" w:hAnsiTheme="minorHAnsi" w:cs="Arial"/>
          <w:color w:val="000000"/>
          <w:lang w:val="en-ZA" w:eastAsia="en-ZA"/>
        </w:rPr>
        <w:t xml:space="preserve">Twitter: @comptrib                                        </w:t>
      </w:r>
    </w:p>
    <w:p w:rsidR="008B0EEE" w:rsidRPr="00C52328" w:rsidRDefault="008B0EEE" w:rsidP="008B0EEE">
      <w:pPr>
        <w:jc w:val="both"/>
        <w:rPr>
          <w:rFonts w:asciiTheme="minorHAnsi" w:hAnsiTheme="minorHAnsi" w:cs="Arial"/>
          <w:lang w:val="en-ZA"/>
        </w:rPr>
      </w:pPr>
      <w:r w:rsidRPr="00C52328">
        <w:rPr>
          <w:rFonts w:asciiTheme="minorHAnsi" w:hAnsiTheme="minorHAnsi" w:cs="Arial"/>
          <w:color w:val="000000"/>
          <w:lang w:val="en-ZA" w:eastAsia="en-ZA"/>
        </w:rPr>
        <w:t xml:space="preserve">E-Mail: </w:t>
      </w:r>
      <w:hyperlink r:id="rId8" w:history="1">
        <w:r w:rsidRPr="00C52328">
          <w:rPr>
            <w:rFonts w:asciiTheme="minorHAnsi" w:hAnsiTheme="minorHAnsi" w:cs="Arial"/>
            <w:color w:val="0000FF"/>
            <w:u w:val="single"/>
            <w:lang w:val="en-ZA" w:eastAsia="en-ZA"/>
          </w:rPr>
          <w:t>chantelleb@comptrib.co.za</w:t>
        </w:r>
      </w:hyperlink>
      <w:r w:rsidRPr="00C52328">
        <w:rPr>
          <w:rFonts w:asciiTheme="minorHAnsi" w:hAnsiTheme="minorHAnsi" w:cs="Arial"/>
          <w:lang w:val="en-ZA"/>
        </w:rPr>
        <w:t xml:space="preserve"> </w:t>
      </w:r>
    </w:p>
    <w:p w:rsidR="008B0EEE" w:rsidRPr="00C52328" w:rsidRDefault="008B0EEE" w:rsidP="008B0EEE">
      <w:pPr>
        <w:jc w:val="both"/>
        <w:rPr>
          <w:rFonts w:asciiTheme="minorHAnsi" w:hAnsiTheme="minorHAnsi" w:cs="Arial"/>
          <w:color w:val="000000"/>
          <w:lang w:val="en-ZA"/>
        </w:rPr>
      </w:pPr>
    </w:p>
    <w:p w:rsidR="008B0EEE" w:rsidRPr="00C52328" w:rsidRDefault="008B0EEE" w:rsidP="008B0EEE">
      <w:pPr>
        <w:jc w:val="both"/>
        <w:rPr>
          <w:rFonts w:asciiTheme="minorHAnsi" w:hAnsiTheme="minorHAnsi" w:cs="Arial"/>
          <w:color w:val="000000"/>
          <w:lang w:val="en-ZA"/>
        </w:rPr>
      </w:pPr>
    </w:p>
    <w:p w:rsidR="008B0EEE" w:rsidRPr="00C52328" w:rsidRDefault="008B0EEE" w:rsidP="008B0EEE">
      <w:pPr>
        <w:jc w:val="both"/>
        <w:rPr>
          <w:rFonts w:asciiTheme="minorHAnsi" w:hAnsiTheme="minorHAnsi" w:cs="Arial"/>
          <w:lang w:val="en-ZA" w:eastAsia="en-ZA"/>
        </w:rPr>
      </w:pPr>
      <w:r w:rsidRPr="00C52328">
        <w:rPr>
          <w:rFonts w:asciiTheme="minorHAnsi" w:hAnsiTheme="minorHAnsi" w:cs="Arial"/>
          <w:color w:val="000000"/>
          <w:lang w:val="en-ZA" w:eastAsia="en-ZA"/>
        </w:rPr>
        <w:t>On Behalf Of:</w:t>
      </w:r>
    </w:p>
    <w:p w:rsidR="008B0EEE" w:rsidRPr="00C52328" w:rsidRDefault="008B0EEE" w:rsidP="008B0EEE">
      <w:pPr>
        <w:jc w:val="both"/>
        <w:rPr>
          <w:rFonts w:asciiTheme="minorHAnsi" w:hAnsiTheme="minorHAnsi" w:cs="Arial"/>
          <w:lang w:val="en-ZA" w:eastAsia="en-ZA"/>
        </w:rPr>
      </w:pPr>
      <w:r w:rsidRPr="00C52328">
        <w:rPr>
          <w:rFonts w:asciiTheme="minorHAnsi" w:hAnsiTheme="minorHAnsi" w:cs="Arial"/>
          <w:color w:val="000000"/>
          <w:lang w:val="en-ZA" w:eastAsia="en-ZA"/>
        </w:rPr>
        <w:t>Lerato Motaung                                                   </w:t>
      </w:r>
    </w:p>
    <w:p w:rsidR="008B0EEE" w:rsidRPr="00C52328" w:rsidRDefault="008B0EEE" w:rsidP="008B0EEE">
      <w:pPr>
        <w:jc w:val="both"/>
        <w:rPr>
          <w:rFonts w:asciiTheme="minorHAnsi" w:hAnsiTheme="minorHAnsi" w:cs="Arial"/>
          <w:lang w:val="en-ZA" w:eastAsia="en-ZA"/>
        </w:rPr>
      </w:pPr>
      <w:r w:rsidRPr="00C52328">
        <w:rPr>
          <w:rFonts w:asciiTheme="minorHAnsi" w:hAnsiTheme="minorHAnsi" w:cs="Arial"/>
          <w:color w:val="000000"/>
          <w:lang w:val="en-ZA" w:eastAsia="en-ZA"/>
        </w:rPr>
        <w:t xml:space="preserve">Registrar: Competition Tribunal                                         </w:t>
      </w:r>
    </w:p>
    <w:p w:rsidR="008B0EEE" w:rsidRPr="00C52328" w:rsidRDefault="008B0EEE" w:rsidP="008B0EEE">
      <w:pPr>
        <w:jc w:val="both"/>
        <w:rPr>
          <w:rFonts w:asciiTheme="minorHAnsi" w:hAnsiTheme="minorHAnsi" w:cs="Arial"/>
          <w:lang w:val="en-ZA" w:eastAsia="en-ZA"/>
        </w:rPr>
      </w:pPr>
      <w:r w:rsidRPr="00C52328">
        <w:rPr>
          <w:rFonts w:asciiTheme="minorHAnsi" w:hAnsiTheme="minorHAnsi" w:cs="Arial"/>
          <w:color w:val="000000"/>
          <w:lang w:val="en-ZA" w:eastAsia="en-ZA"/>
        </w:rPr>
        <w:t xml:space="preserve">Tel: (012) 394 3355                                              </w:t>
      </w:r>
    </w:p>
    <w:p w:rsidR="008B0EEE" w:rsidRPr="00C52328" w:rsidRDefault="008B0EEE" w:rsidP="008B0EEE">
      <w:pPr>
        <w:jc w:val="both"/>
        <w:rPr>
          <w:rFonts w:asciiTheme="minorHAnsi" w:hAnsiTheme="minorHAnsi" w:cs="Arial"/>
          <w:lang w:val="en-ZA" w:eastAsia="en-ZA"/>
        </w:rPr>
      </w:pPr>
      <w:r w:rsidRPr="00C52328">
        <w:rPr>
          <w:rFonts w:asciiTheme="minorHAnsi" w:hAnsiTheme="minorHAnsi" w:cs="Arial"/>
          <w:color w:val="000000"/>
          <w:lang w:val="en-ZA" w:eastAsia="en-ZA"/>
        </w:rPr>
        <w:t xml:space="preserve">Cell: +27 (0) 82 556 3221                                               </w:t>
      </w:r>
    </w:p>
    <w:p w:rsidR="008B0EEE" w:rsidRPr="00C52328" w:rsidRDefault="008B0EEE" w:rsidP="008B0EEE">
      <w:pPr>
        <w:jc w:val="both"/>
        <w:rPr>
          <w:rFonts w:asciiTheme="minorHAnsi" w:hAnsiTheme="minorHAnsi" w:cs="Arial"/>
          <w:lang w:val="en-ZA"/>
        </w:rPr>
      </w:pPr>
      <w:r w:rsidRPr="00C52328">
        <w:rPr>
          <w:rFonts w:asciiTheme="minorHAnsi" w:hAnsiTheme="minorHAnsi" w:cs="Arial"/>
          <w:color w:val="000000"/>
          <w:lang w:val="en-ZA" w:eastAsia="en-ZA"/>
        </w:rPr>
        <w:t xml:space="preserve">E-Mail: </w:t>
      </w:r>
      <w:hyperlink r:id="rId9" w:history="1">
        <w:r w:rsidRPr="00C52328">
          <w:rPr>
            <w:rFonts w:asciiTheme="minorHAnsi" w:hAnsiTheme="minorHAnsi" w:cs="Arial"/>
            <w:color w:val="0000FF"/>
            <w:u w:val="single"/>
            <w:lang w:val="en-ZA" w:eastAsia="en-ZA"/>
          </w:rPr>
          <w:t>LeratoM@comptrib.co.za</w:t>
        </w:r>
      </w:hyperlink>
    </w:p>
    <w:p w:rsidR="001260C5" w:rsidRDefault="00E937AE"/>
    <w:sectPr w:rsidR="001260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7AE" w:rsidRDefault="00E937AE" w:rsidP="00B47144">
      <w:r>
        <w:separator/>
      </w:r>
    </w:p>
  </w:endnote>
  <w:endnote w:type="continuationSeparator" w:id="0">
    <w:p w:rsidR="00E937AE" w:rsidRDefault="00E937AE" w:rsidP="00B47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7AE" w:rsidRDefault="00E937AE" w:rsidP="00B47144">
      <w:r>
        <w:separator/>
      </w:r>
    </w:p>
  </w:footnote>
  <w:footnote w:type="continuationSeparator" w:id="0">
    <w:p w:rsidR="00E937AE" w:rsidRDefault="00E937AE" w:rsidP="00B47144">
      <w:r>
        <w:continuationSeparator/>
      </w:r>
    </w:p>
  </w:footnote>
  <w:footnote w:id="1">
    <w:p w:rsidR="00583AC9" w:rsidRDefault="00583AC9" w:rsidP="00583AC9">
      <w:pPr>
        <w:jc w:val="both"/>
      </w:pPr>
      <w:r>
        <w:rPr>
          <w:rStyle w:val="FootnoteReference"/>
        </w:rPr>
        <w:footnoteRef/>
      </w:r>
      <w:r>
        <w:t xml:space="preserve"> In the proposed transaction AB InBev will acquire control of SABMiller. The companies are vertically integrated with their operations spanning manufacturing and the distribution of alcoholic beverages, particularly beer products, but AB InBev, while it has expansive brewing operations around the world, does not have brewing operations in South Africa or Africa. SABMiller, on the other hand, has significant brewing operations in South Africa and several other African countries. </w:t>
      </w:r>
    </w:p>
    <w:p w:rsidR="00583AC9" w:rsidRPr="00583AC9" w:rsidRDefault="00583AC9">
      <w:pPr>
        <w:pStyle w:val="FootnoteText"/>
        <w:rPr>
          <w:lang w:val="en-ZA"/>
        </w:rPr>
      </w:pPr>
    </w:p>
  </w:footnote>
  <w:footnote w:id="2">
    <w:p w:rsidR="00B47144" w:rsidRDefault="00B47144" w:rsidP="00B47144">
      <w:pPr>
        <w:jc w:val="both"/>
      </w:pPr>
      <w:r>
        <w:rPr>
          <w:rStyle w:val="FootnoteReference"/>
        </w:rPr>
        <w:footnoteRef/>
      </w:r>
      <w:r>
        <w:t xml:space="preserve"> At the hearing of this matter the Tribunal heard submissions from the Competition Commission, merging parties, the Minister of Economic Development, Heineken, the Black Business Forum,</w:t>
      </w:r>
      <w:r w:rsidR="00B048BE">
        <w:t xml:space="preserve"> Grain SA,</w:t>
      </w:r>
      <w:r>
        <w:t xml:space="preserve"> the Tavern Owners Association, as well as Distell. SABMiller has a</w:t>
      </w:r>
      <w:r w:rsidR="00B048BE">
        <w:t xml:space="preserve"> significant holding in Distell, </w:t>
      </w:r>
      <w:r>
        <w:t xml:space="preserve">which is the largest producer of ciders in South Africa, followed </w:t>
      </w:r>
      <w:r w:rsidR="00F32459">
        <w:t xml:space="preserve">by </w:t>
      </w:r>
      <w:r w:rsidRPr="00F32459">
        <w:t>SAB</w:t>
      </w:r>
      <w:r w:rsidR="00F32459">
        <w:t>Miller.</w:t>
      </w:r>
    </w:p>
    <w:p w:rsidR="00B47144" w:rsidRPr="00B47144" w:rsidRDefault="00B47144">
      <w:pPr>
        <w:pStyle w:val="FootnoteText"/>
        <w:rPr>
          <w:lang w:val="en-ZA"/>
        </w:rPr>
      </w:pPr>
    </w:p>
  </w:footnote>
  <w:footnote w:id="3">
    <w:p w:rsidR="00583AC9" w:rsidRPr="00B048BE" w:rsidRDefault="00583AC9">
      <w:pPr>
        <w:pStyle w:val="FootnoteText"/>
        <w:rPr>
          <w:sz w:val="22"/>
          <w:szCs w:val="22"/>
          <w:lang w:val="en-ZA"/>
        </w:rPr>
      </w:pPr>
      <w:r w:rsidRPr="00B048BE">
        <w:rPr>
          <w:rStyle w:val="FootnoteReference"/>
          <w:sz w:val="22"/>
          <w:szCs w:val="22"/>
        </w:rPr>
        <w:footnoteRef/>
      </w:r>
      <w:r w:rsidRPr="00B048BE">
        <w:rPr>
          <w:sz w:val="22"/>
          <w:szCs w:val="22"/>
        </w:rPr>
        <w:t xml:space="preserve"> Out</w:t>
      </w:r>
      <w:r w:rsidR="00C52328">
        <w:rPr>
          <w:sz w:val="22"/>
          <w:szCs w:val="22"/>
        </w:rPr>
        <w:t>let owners can reserve up to 10</w:t>
      </w:r>
      <w:r w:rsidRPr="00B048BE">
        <w:rPr>
          <w:sz w:val="22"/>
          <w:szCs w:val="22"/>
        </w:rPr>
        <w:t>% of one Merged party supplied fridge for rival Small Beer producers. This provision is not subject to a time limit. An additional 10%</w:t>
      </w:r>
      <w:r w:rsidR="00C52328">
        <w:rPr>
          <w:sz w:val="22"/>
          <w:szCs w:val="22"/>
        </w:rPr>
        <w:t>, over and above the already allocated 10% for Small Beer producers,</w:t>
      </w:r>
      <w:r w:rsidRPr="00B048BE">
        <w:rPr>
          <w:sz w:val="22"/>
          <w:szCs w:val="22"/>
        </w:rPr>
        <w:t xml:space="preserve"> may be allocated to rival cider producers</w:t>
      </w:r>
      <w:r w:rsidR="00B048BE">
        <w:rPr>
          <w:sz w:val="22"/>
          <w:szCs w:val="22"/>
        </w:rPr>
        <w:t>,</w:t>
      </w:r>
      <w:r w:rsidRPr="00B048BE">
        <w:rPr>
          <w:sz w:val="22"/>
          <w:szCs w:val="22"/>
        </w:rPr>
        <w:t xml:space="preserve"> but this provision</w:t>
      </w:r>
      <w:r w:rsidR="0049363D" w:rsidRPr="0049363D">
        <w:rPr>
          <w:sz w:val="22"/>
          <w:szCs w:val="22"/>
        </w:rPr>
        <w:t xml:space="preserve"> </w:t>
      </w:r>
      <w:r w:rsidR="0049363D">
        <w:rPr>
          <w:sz w:val="22"/>
          <w:szCs w:val="22"/>
        </w:rPr>
        <w:t>for cider producers</w:t>
      </w:r>
      <w:bookmarkStart w:id="0" w:name="_GoBack"/>
      <w:bookmarkEnd w:id="0"/>
      <w:r w:rsidRPr="00B048BE">
        <w:rPr>
          <w:sz w:val="22"/>
          <w:szCs w:val="22"/>
        </w:rPr>
        <w:t xml:space="preserve"> only applies for five years.</w:t>
      </w:r>
    </w:p>
  </w:footnote>
  <w:footnote w:id="4">
    <w:p w:rsidR="003022B3" w:rsidRDefault="003022B3">
      <w:pPr>
        <w:pStyle w:val="FootnoteText"/>
        <w:rPr>
          <w:sz w:val="22"/>
          <w:szCs w:val="22"/>
          <w:lang w:val="en-ZA"/>
        </w:rPr>
      </w:pPr>
      <w:r w:rsidRPr="00C52328">
        <w:rPr>
          <w:rStyle w:val="FootnoteReference"/>
          <w:sz w:val="22"/>
          <w:szCs w:val="22"/>
        </w:rPr>
        <w:footnoteRef/>
      </w:r>
      <w:r w:rsidRPr="00C52328">
        <w:rPr>
          <w:sz w:val="22"/>
          <w:szCs w:val="22"/>
        </w:rPr>
        <w:t xml:space="preserve"> </w:t>
      </w:r>
      <w:r w:rsidRPr="00C52328">
        <w:rPr>
          <w:sz w:val="22"/>
          <w:szCs w:val="22"/>
          <w:lang w:val="en-ZA"/>
        </w:rPr>
        <w:t>Barley farmers are concerned about whether an existing industry pricing mechanism will change post</w:t>
      </w:r>
      <w:r w:rsidR="00C52328">
        <w:rPr>
          <w:sz w:val="22"/>
          <w:szCs w:val="22"/>
          <w:lang w:val="en-ZA"/>
        </w:rPr>
        <w:t>-</w:t>
      </w:r>
      <w:r w:rsidRPr="00C52328">
        <w:rPr>
          <w:sz w:val="22"/>
          <w:szCs w:val="22"/>
          <w:lang w:val="en-ZA"/>
        </w:rPr>
        <w:t xml:space="preserve"> merger given the international sourcing power ABI bring</w:t>
      </w:r>
      <w:r w:rsidR="00C52328">
        <w:rPr>
          <w:sz w:val="22"/>
          <w:szCs w:val="22"/>
          <w:lang w:val="en-ZA"/>
        </w:rPr>
        <w:t>s</w:t>
      </w:r>
      <w:r w:rsidRPr="00C52328">
        <w:rPr>
          <w:sz w:val="22"/>
          <w:szCs w:val="22"/>
          <w:lang w:val="en-ZA"/>
        </w:rPr>
        <w:t xml:space="preserve"> to SAB. The conditions do not provide a pricing mecha</w:t>
      </w:r>
      <w:r w:rsidR="00A12D71">
        <w:rPr>
          <w:sz w:val="22"/>
          <w:szCs w:val="22"/>
          <w:lang w:val="en-ZA"/>
        </w:rPr>
        <w:t>nism but require that the Merged</w:t>
      </w:r>
      <w:r w:rsidRPr="00C52328">
        <w:rPr>
          <w:sz w:val="22"/>
          <w:szCs w:val="22"/>
          <w:lang w:val="en-ZA"/>
        </w:rPr>
        <w:t xml:space="preserve"> entity does not reduce </w:t>
      </w:r>
      <w:r w:rsidR="00A12D71">
        <w:rPr>
          <w:sz w:val="22"/>
          <w:szCs w:val="22"/>
          <w:lang w:val="en-ZA"/>
        </w:rPr>
        <w:t xml:space="preserve">the </w:t>
      </w:r>
      <w:r w:rsidRPr="00C52328">
        <w:rPr>
          <w:sz w:val="22"/>
          <w:szCs w:val="22"/>
          <w:lang w:val="en-ZA"/>
        </w:rPr>
        <w:t xml:space="preserve">existing ratio of local purchases pre-merger without a commercial justification. The condition clarifies how the base year is selected. </w:t>
      </w:r>
    </w:p>
    <w:p w:rsidR="00A74673" w:rsidRPr="00C52328" w:rsidRDefault="00A74673">
      <w:pPr>
        <w:pStyle w:val="FootnoteText"/>
        <w:rPr>
          <w:sz w:val="22"/>
          <w:szCs w:val="22"/>
          <w:lang w:val="en-ZA"/>
        </w:rPr>
      </w:pPr>
    </w:p>
  </w:footnote>
  <w:footnote w:id="5">
    <w:p w:rsidR="00B47144" w:rsidRPr="00C52328" w:rsidRDefault="00B47144" w:rsidP="00B47144">
      <w:pPr>
        <w:jc w:val="both"/>
      </w:pPr>
      <w:r w:rsidRPr="00C52328">
        <w:rPr>
          <w:rStyle w:val="FootnoteReference"/>
        </w:rPr>
        <w:footnoteRef/>
      </w:r>
      <w:r w:rsidR="00EB0485">
        <w:t xml:space="preserve"> </w:t>
      </w:r>
      <w:r w:rsidRPr="00C52328">
        <w:t xml:space="preserve">The Zenzele Scheme is set to mature in 2020. The issue raised by FAWU was that in terms of the conditions proposed by the Commission the Zenzele shareholders were being treated differently to the holders of other classes of shares. The parties agreed during the course of the hearing that these provisions would be excised from the Conditions and </w:t>
      </w:r>
      <w:r w:rsidR="00C52328">
        <w:t xml:space="preserve">would </w:t>
      </w:r>
      <w:r w:rsidRPr="00C52328">
        <w:t>be dealt with in another forum.</w:t>
      </w:r>
    </w:p>
    <w:p w:rsidR="00B47144" w:rsidRPr="00B47144" w:rsidRDefault="00B47144">
      <w:pPr>
        <w:pStyle w:val="FootnoteText"/>
        <w:rPr>
          <w:lang w:val="en-Z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B63405"/>
    <w:multiLevelType w:val="hybridMultilevel"/>
    <w:tmpl w:val="A1442C90"/>
    <w:lvl w:ilvl="0" w:tplc="1C090001">
      <w:start w:val="1"/>
      <w:numFmt w:val="bullet"/>
      <w:lvlText w:val=""/>
      <w:lvlJc w:val="left"/>
      <w:pPr>
        <w:ind w:left="770" w:hanging="360"/>
      </w:pPr>
      <w:rPr>
        <w:rFonts w:ascii="Symbol" w:hAnsi="Symbol" w:hint="default"/>
      </w:rPr>
    </w:lvl>
    <w:lvl w:ilvl="1" w:tplc="1C090003" w:tentative="1">
      <w:start w:val="1"/>
      <w:numFmt w:val="bullet"/>
      <w:lvlText w:val="o"/>
      <w:lvlJc w:val="left"/>
      <w:pPr>
        <w:ind w:left="1490" w:hanging="360"/>
      </w:pPr>
      <w:rPr>
        <w:rFonts w:ascii="Courier New" w:hAnsi="Courier New" w:cs="Courier New" w:hint="default"/>
      </w:rPr>
    </w:lvl>
    <w:lvl w:ilvl="2" w:tplc="1C090005" w:tentative="1">
      <w:start w:val="1"/>
      <w:numFmt w:val="bullet"/>
      <w:lvlText w:val=""/>
      <w:lvlJc w:val="left"/>
      <w:pPr>
        <w:ind w:left="2210" w:hanging="360"/>
      </w:pPr>
      <w:rPr>
        <w:rFonts w:ascii="Wingdings" w:hAnsi="Wingdings" w:hint="default"/>
      </w:rPr>
    </w:lvl>
    <w:lvl w:ilvl="3" w:tplc="1C090001" w:tentative="1">
      <w:start w:val="1"/>
      <w:numFmt w:val="bullet"/>
      <w:lvlText w:val=""/>
      <w:lvlJc w:val="left"/>
      <w:pPr>
        <w:ind w:left="2930" w:hanging="360"/>
      </w:pPr>
      <w:rPr>
        <w:rFonts w:ascii="Symbol" w:hAnsi="Symbol" w:hint="default"/>
      </w:rPr>
    </w:lvl>
    <w:lvl w:ilvl="4" w:tplc="1C090003" w:tentative="1">
      <w:start w:val="1"/>
      <w:numFmt w:val="bullet"/>
      <w:lvlText w:val="o"/>
      <w:lvlJc w:val="left"/>
      <w:pPr>
        <w:ind w:left="3650" w:hanging="360"/>
      </w:pPr>
      <w:rPr>
        <w:rFonts w:ascii="Courier New" w:hAnsi="Courier New" w:cs="Courier New" w:hint="default"/>
      </w:rPr>
    </w:lvl>
    <w:lvl w:ilvl="5" w:tplc="1C090005" w:tentative="1">
      <w:start w:val="1"/>
      <w:numFmt w:val="bullet"/>
      <w:lvlText w:val=""/>
      <w:lvlJc w:val="left"/>
      <w:pPr>
        <w:ind w:left="4370" w:hanging="360"/>
      </w:pPr>
      <w:rPr>
        <w:rFonts w:ascii="Wingdings" w:hAnsi="Wingdings" w:hint="default"/>
      </w:rPr>
    </w:lvl>
    <w:lvl w:ilvl="6" w:tplc="1C090001" w:tentative="1">
      <w:start w:val="1"/>
      <w:numFmt w:val="bullet"/>
      <w:lvlText w:val=""/>
      <w:lvlJc w:val="left"/>
      <w:pPr>
        <w:ind w:left="5090" w:hanging="360"/>
      </w:pPr>
      <w:rPr>
        <w:rFonts w:ascii="Symbol" w:hAnsi="Symbol" w:hint="default"/>
      </w:rPr>
    </w:lvl>
    <w:lvl w:ilvl="7" w:tplc="1C090003" w:tentative="1">
      <w:start w:val="1"/>
      <w:numFmt w:val="bullet"/>
      <w:lvlText w:val="o"/>
      <w:lvlJc w:val="left"/>
      <w:pPr>
        <w:ind w:left="5810" w:hanging="360"/>
      </w:pPr>
      <w:rPr>
        <w:rFonts w:ascii="Courier New" w:hAnsi="Courier New" w:cs="Courier New" w:hint="default"/>
      </w:rPr>
    </w:lvl>
    <w:lvl w:ilvl="8" w:tplc="1C090005" w:tentative="1">
      <w:start w:val="1"/>
      <w:numFmt w:val="bullet"/>
      <w:lvlText w:val=""/>
      <w:lvlJc w:val="left"/>
      <w:pPr>
        <w:ind w:left="6530" w:hanging="360"/>
      </w:pPr>
      <w:rPr>
        <w:rFonts w:ascii="Wingdings" w:hAnsi="Wingdings" w:hint="default"/>
      </w:rPr>
    </w:lvl>
  </w:abstractNum>
  <w:abstractNum w:abstractNumId="1" w15:restartNumberingAfterBreak="0">
    <w:nsid w:val="7B2207D9"/>
    <w:multiLevelType w:val="hybridMultilevel"/>
    <w:tmpl w:val="E2B84988"/>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EEE"/>
    <w:rsid w:val="00153D58"/>
    <w:rsid w:val="001D4F1E"/>
    <w:rsid w:val="00212E59"/>
    <w:rsid w:val="002361DD"/>
    <w:rsid w:val="003022B3"/>
    <w:rsid w:val="00376209"/>
    <w:rsid w:val="00393A95"/>
    <w:rsid w:val="003C625C"/>
    <w:rsid w:val="003C6E2B"/>
    <w:rsid w:val="003F69D9"/>
    <w:rsid w:val="00423DD9"/>
    <w:rsid w:val="0049363D"/>
    <w:rsid w:val="004F62F2"/>
    <w:rsid w:val="00524F04"/>
    <w:rsid w:val="00581CC8"/>
    <w:rsid w:val="00583AC9"/>
    <w:rsid w:val="0059412B"/>
    <w:rsid w:val="005F0156"/>
    <w:rsid w:val="0062114A"/>
    <w:rsid w:val="007579DE"/>
    <w:rsid w:val="007C0151"/>
    <w:rsid w:val="008B0EEE"/>
    <w:rsid w:val="009740E9"/>
    <w:rsid w:val="009B76A9"/>
    <w:rsid w:val="00A12D71"/>
    <w:rsid w:val="00A469A3"/>
    <w:rsid w:val="00A74673"/>
    <w:rsid w:val="00B00138"/>
    <w:rsid w:val="00B048BE"/>
    <w:rsid w:val="00B47144"/>
    <w:rsid w:val="00C52328"/>
    <w:rsid w:val="00E7708C"/>
    <w:rsid w:val="00E937AE"/>
    <w:rsid w:val="00EB0485"/>
    <w:rsid w:val="00F32459"/>
    <w:rsid w:val="00F67C14"/>
    <w:rsid w:val="00F83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37650F-6056-43DA-BA86-50E60EC9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EE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3262"/>
    <w:rPr>
      <w:rFonts w:ascii="Tahoma" w:hAnsi="Tahoma" w:cs="Tahoma"/>
      <w:sz w:val="16"/>
      <w:szCs w:val="16"/>
    </w:rPr>
  </w:style>
  <w:style w:type="character" w:customStyle="1" w:styleId="BalloonTextChar">
    <w:name w:val="Balloon Text Char"/>
    <w:basedOn w:val="DefaultParagraphFont"/>
    <w:link w:val="BalloonText"/>
    <w:uiPriority w:val="99"/>
    <w:semiHidden/>
    <w:rsid w:val="00F83262"/>
    <w:rPr>
      <w:rFonts w:ascii="Tahoma" w:hAnsi="Tahoma" w:cs="Tahoma"/>
      <w:sz w:val="16"/>
      <w:szCs w:val="16"/>
    </w:rPr>
  </w:style>
  <w:style w:type="paragraph" w:styleId="ListParagraph">
    <w:name w:val="List Paragraph"/>
    <w:basedOn w:val="Normal"/>
    <w:uiPriority w:val="34"/>
    <w:qFormat/>
    <w:rsid w:val="009740E9"/>
    <w:pPr>
      <w:ind w:left="720"/>
      <w:contextualSpacing/>
    </w:pPr>
  </w:style>
  <w:style w:type="paragraph" w:styleId="FootnoteText">
    <w:name w:val="footnote text"/>
    <w:basedOn w:val="Normal"/>
    <w:link w:val="FootnoteTextChar"/>
    <w:uiPriority w:val="99"/>
    <w:semiHidden/>
    <w:unhideWhenUsed/>
    <w:rsid w:val="00B47144"/>
    <w:rPr>
      <w:sz w:val="20"/>
      <w:szCs w:val="20"/>
    </w:rPr>
  </w:style>
  <w:style w:type="character" w:customStyle="1" w:styleId="FootnoteTextChar">
    <w:name w:val="Footnote Text Char"/>
    <w:basedOn w:val="DefaultParagraphFont"/>
    <w:link w:val="FootnoteText"/>
    <w:uiPriority w:val="99"/>
    <w:semiHidden/>
    <w:rsid w:val="00B47144"/>
    <w:rPr>
      <w:rFonts w:ascii="Calibri" w:hAnsi="Calibri" w:cs="Times New Roman"/>
      <w:sz w:val="20"/>
      <w:szCs w:val="20"/>
    </w:rPr>
  </w:style>
  <w:style w:type="character" w:styleId="FootnoteReference">
    <w:name w:val="footnote reference"/>
    <w:basedOn w:val="DefaultParagraphFont"/>
    <w:uiPriority w:val="99"/>
    <w:semiHidden/>
    <w:unhideWhenUsed/>
    <w:rsid w:val="00B47144"/>
    <w:rPr>
      <w:vertAlign w:val="superscript"/>
    </w:rPr>
  </w:style>
  <w:style w:type="character" w:styleId="CommentReference">
    <w:name w:val="annotation reference"/>
    <w:basedOn w:val="DefaultParagraphFont"/>
    <w:uiPriority w:val="99"/>
    <w:semiHidden/>
    <w:unhideWhenUsed/>
    <w:rsid w:val="00B00138"/>
    <w:rPr>
      <w:sz w:val="16"/>
      <w:szCs w:val="16"/>
    </w:rPr>
  </w:style>
  <w:style w:type="paragraph" w:styleId="CommentText">
    <w:name w:val="annotation text"/>
    <w:basedOn w:val="Normal"/>
    <w:link w:val="CommentTextChar"/>
    <w:uiPriority w:val="99"/>
    <w:semiHidden/>
    <w:unhideWhenUsed/>
    <w:rsid w:val="00B00138"/>
    <w:rPr>
      <w:sz w:val="20"/>
      <w:szCs w:val="20"/>
    </w:rPr>
  </w:style>
  <w:style w:type="character" w:customStyle="1" w:styleId="CommentTextChar">
    <w:name w:val="Comment Text Char"/>
    <w:basedOn w:val="DefaultParagraphFont"/>
    <w:link w:val="CommentText"/>
    <w:uiPriority w:val="99"/>
    <w:semiHidden/>
    <w:rsid w:val="00B00138"/>
    <w:rPr>
      <w:rFonts w:ascii="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28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errickb\AppData\Local\Microsoft\Windows\Temporary%20Internet%20Files\Content.Outlook\XMGS7MLP\chantelleb@comptrib.co.za"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eratoM@comptrib.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Chantelle Benjamin</dc:creator>
  <cp:lastModifiedBy>Chantelle Benjamin</cp:lastModifiedBy>
  <cp:revision>22</cp:revision>
  <cp:lastPrinted>2016-06-29T14:32:00Z</cp:lastPrinted>
  <dcterms:created xsi:type="dcterms:W3CDTF">2016-06-29T14:38:00Z</dcterms:created>
  <dcterms:modified xsi:type="dcterms:W3CDTF">2016-06-30T07:25:00Z</dcterms:modified>
</cp:coreProperties>
</file>